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EE" w:rsidRPr="00F3121F" w:rsidRDefault="002069EE" w:rsidP="002069EE">
      <w:pPr>
        <w:jc w:val="center"/>
        <w:rPr>
          <w:b/>
          <w:sz w:val="28"/>
        </w:rPr>
      </w:pPr>
      <w:r w:rsidRPr="00F3121F">
        <w:rPr>
          <w:b/>
          <w:sz w:val="28"/>
        </w:rPr>
        <w:t xml:space="preserve">Homework </w:t>
      </w:r>
      <w:r w:rsidR="00A83A6B">
        <w:rPr>
          <w:b/>
          <w:sz w:val="28"/>
        </w:rPr>
        <w:t>Assignment:  Unit 10</w:t>
      </w:r>
    </w:p>
    <w:p w:rsidR="002069EE" w:rsidRDefault="000004F3" w:rsidP="000004F3">
      <w:pPr>
        <w:jc w:val="center"/>
        <w:rPr>
          <w:b/>
          <w:sz w:val="28"/>
        </w:rPr>
      </w:pPr>
      <w:r>
        <w:rPr>
          <w:b/>
          <w:sz w:val="28"/>
        </w:rPr>
        <w:t>Solving Linear Equations</w:t>
      </w:r>
    </w:p>
    <w:p w:rsidR="000004F3" w:rsidRDefault="000004F3" w:rsidP="002069EE"/>
    <w:p w:rsidR="002069EE" w:rsidRPr="000004F3" w:rsidRDefault="002069EE" w:rsidP="002069EE">
      <w:pPr>
        <w:rPr>
          <w:sz w:val="20"/>
        </w:rPr>
      </w:pPr>
      <w:r w:rsidRPr="000004F3">
        <w:rPr>
          <w:sz w:val="20"/>
        </w:rPr>
        <w:t xml:space="preserve">Success in math is found through repetition and practice at home.  The following questions will be assigned after the corresponding lesson and check at the beginning of class the following day.  For full marks you </w:t>
      </w:r>
      <w:r w:rsidRPr="000004F3">
        <w:rPr>
          <w:sz w:val="20"/>
          <w:u w:val="single"/>
        </w:rPr>
        <w:t>must</w:t>
      </w:r>
      <w:r w:rsidRPr="000004F3">
        <w:rPr>
          <w:sz w:val="20"/>
        </w:rPr>
        <w:t xml:space="preserve"> show all of your work and mark your work after checking the answers in the back of the book.  If you do not know how to complete a question, write it down, draw a picture, write the correct answer from the answer key and you could still potentially receive full marks.  Homework is not assessed for the “right” answer.  Learning is a work in progress.   You can submit homework for part marks any time before the unit test.   After that time, you are no longer eligible for homework marks.  </w:t>
      </w:r>
    </w:p>
    <w:tbl>
      <w:tblPr>
        <w:tblStyle w:val="TableGrid"/>
        <w:tblpPr w:leftFromText="180" w:rightFromText="180" w:vertAnchor="page" w:horzAnchor="margin" w:tblpY="3196"/>
        <w:tblW w:w="10188" w:type="dxa"/>
        <w:tblLook w:val="00A0" w:firstRow="1" w:lastRow="0" w:firstColumn="1" w:lastColumn="0" w:noHBand="0" w:noVBand="0"/>
      </w:tblPr>
      <w:tblGrid>
        <w:gridCol w:w="978"/>
        <w:gridCol w:w="6360"/>
        <w:gridCol w:w="2850"/>
      </w:tblGrid>
      <w:tr w:rsidR="00DC3662" w:rsidTr="00052645">
        <w:tc>
          <w:tcPr>
            <w:tcW w:w="978" w:type="dxa"/>
          </w:tcPr>
          <w:p w:rsidR="00DC3662" w:rsidRPr="002069EE" w:rsidRDefault="00DC3662" w:rsidP="00DC3662">
            <w:pPr>
              <w:jc w:val="center"/>
              <w:rPr>
                <w:b/>
              </w:rPr>
            </w:pPr>
            <w:r w:rsidRPr="002069EE">
              <w:rPr>
                <w:b/>
              </w:rPr>
              <w:t>Lesson</w:t>
            </w:r>
          </w:p>
        </w:tc>
        <w:tc>
          <w:tcPr>
            <w:tcW w:w="636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rPr>
            </w:pPr>
            <w:r>
              <w:rPr>
                <w:rFonts w:cs="Times New Roman"/>
                <w:b/>
                <w:szCs w:val="18"/>
              </w:rPr>
              <w:t>10</w:t>
            </w:r>
            <w:r w:rsidRPr="002069EE">
              <w:rPr>
                <w:rFonts w:cs="Times New Roman"/>
                <w:b/>
                <w:szCs w:val="18"/>
              </w:rPr>
              <w:t>.0 Ratios, Rates, and Proportional Reasoning</w:t>
            </w:r>
          </w:p>
          <w:p w:rsidR="00DC3662" w:rsidRPr="002069EE" w:rsidRDefault="00DC3662" w:rsidP="00DC3662">
            <w:pPr>
              <w:jc w:val="center"/>
              <w:rPr>
                <w:b/>
              </w:rPr>
            </w:pPr>
          </w:p>
        </w:tc>
        <w:tc>
          <w:tcPr>
            <w:tcW w:w="285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Cs w:val="18"/>
              </w:rPr>
            </w:pPr>
            <w:r>
              <w:rPr>
                <w:rFonts w:cs="Times New Roman"/>
                <w:b/>
                <w:szCs w:val="18"/>
              </w:rPr>
              <w:t>Unit Question:</w:t>
            </w:r>
          </w:p>
          <w:p w:rsidR="00052645" w:rsidRPr="00052645" w:rsidRDefault="00052645"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18"/>
              </w:rPr>
            </w:pPr>
            <w:r w:rsidRPr="00052645">
              <w:rPr>
                <w:rFonts w:cs="Times New Roman"/>
                <w:szCs w:val="18"/>
              </w:rPr>
              <w:t>How do people deal with the unknown?</w:t>
            </w:r>
          </w:p>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szCs w:val="18"/>
              </w:rPr>
            </w:pPr>
          </w:p>
        </w:tc>
      </w:tr>
      <w:tr w:rsidR="00DC3662" w:rsidTr="00052645">
        <w:tc>
          <w:tcPr>
            <w:tcW w:w="978" w:type="dxa"/>
          </w:tcPr>
          <w:p w:rsidR="00DC3662" w:rsidRPr="002069EE" w:rsidRDefault="00DC3662" w:rsidP="00DC3662">
            <w:r w:rsidRPr="002069EE">
              <w:t>1</w:t>
            </w:r>
          </w:p>
        </w:tc>
        <w:tc>
          <w:tcPr>
            <w:tcW w:w="636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 xml:space="preserve">10.1 </w:t>
            </w:r>
            <w:proofErr w:type="spellStart"/>
            <w:r>
              <w:rPr>
                <w:rFonts w:cs="Times New Roman"/>
                <w:szCs w:val="18"/>
              </w:rPr>
              <w:t>Modelling</w:t>
            </w:r>
            <w:proofErr w:type="spellEnd"/>
            <w:r>
              <w:rPr>
                <w:rFonts w:cs="Times New Roman"/>
                <w:szCs w:val="18"/>
              </w:rPr>
              <w:t xml:space="preserve"> and Solving One-Step Equations</w:t>
            </w: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DC3662" w:rsidRDefault="00BF1A8A"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Do pages 373</w:t>
            </w:r>
            <w:bookmarkStart w:id="0" w:name="_GoBack"/>
            <w:bookmarkEnd w:id="0"/>
            <w:r w:rsidR="00DC3662">
              <w:rPr>
                <w:rFonts w:cs="Times New Roman"/>
                <w:szCs w:val="18"/>
              </w:rPr>
              <w:t>-379 #7-20, 22, 23, 26</w:t>
            </w:r>
          </w:p>
        </w:tc>
        <w:tc>
          <w:tcPr>
            <w:tcW w:w="285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tc>
      </w:tr>
      <w:tr w:rsidR="00DC3662" w:rsidTr="00052645">
        <w:tc>
          <w:tcPr>
            <w:tcW w:w="978" w:type="dxa"/>
          </w:tcPr>
          <w:p w:rsidR="00DC3662" w:rsidRPr="002069EE" w:rsidRDefault="00DC3662" w:rsidP="00DC3662">
            <w:r w:rsidRPr="002069EE">
              <w:t>2</w:t>
            </w:r>
          </w:p>
        </w:tc>
        <w:tc>
          <w:tcPr>
            <w:tcW w:w="636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0004F3"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 xml:space="preserve">10.2 </w:t>
            </w:r>
            <w:proofErr w:type="spellStart"/>
            <w:r>
              <w:rPr>
                <w:rFonts w:cs="Times New Roman"/>
                <w:szCs w:val="18"/>
              </w:rPr>
              <w:t>Modelling</w:t>
            </w:r>
            <w:proofErr w:type="spellEnd"/>
            <w:r>
              <w:rPr>
                <w:rFonts w:cs="Times New Roman"/>
                <w:szCs w:val="18"/>
              </w:rPr>
              <w:t xml:space="preserve"> and Solving Two-Step Equations</w:t>
            </w: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Do pages 385-386 7-12b, 13-17</w:t>
            </w:r>
          </w:p>
        </w:tc>
        <w:tc>
          <w:tcPr>
            <w:tcW w:w="285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tc>
      </w:tr>
      <w:tr w:rsidR="00DC3662" w:rsidTr="00052645">
        <w:tc>
          <w:tcPr>
            <w:tcW w:w="978" w:type="dxa"/>
          </w:tcPr>
          <w:p w:rsidR="00DC3662" w:rsidRPr="002069EE" w:rsidRDefault="00DC3662" w:rsidP="00DC3662">
            <w:r w:rsidRPr="002069EE">
              <w:t>3</w:t>
            </w:r>
          </w:p>
        </w:tc>
        <w:tc>
          <w:tcPr>
            <w:tcW w:w="636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New Roman"/>
                <w:szCs w:val="18"/>
              </w:rPr>
              <w:t xml:space="preserve">10.3 </w:t>
            </w:r>
            <w:proofErr w:type="spellStart"/>
            <w:r>
              <w:rPr>
                <w:rFonts w:cs="Times New Roman"/>
                <w:szCs w:val="18"/>
              </w:rPr>
              <w:t>Modelling</w:t>
            </w:r>
            <w:proofErr w:type="spellEnd"/>
            <w:r>
              <w:rPr>
                <w:rFonts w:cs="Times New Roman"/>
                <w:szCs w:val="18"/>
              </w:rPr>
              <w:t xml:space="preserve"> and Solving Two-Step Equations</w:t>
            </w: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Do pages 392-393 #6-17</w:t>
            </w:r>
          </w:p>
        </w:tc>
        <w:tc>
          <w:tcPr>
            <w:tcW w:w="285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tc>
      </w:tr>
      <w:tr w:rsidR="00DC3662" w:rsidTr="00052645">
        <w:tc>
          <w:tcPr>
            <w:tcW w:w="978" w:type="dxa"/>
          </w:tcPr>
          <w:p w:rsidR="00DC3662" w:rsidRPr="002069EE" w:rsidRDefault="00DC3662" w:rsidP="00DC3662">
            <w:r w:rsidRPr="002069EE">
              <w:t>4</w:t>
            </w:r>
          </w:p>
        </w:tc>
        <w:tc>
          <w:tcPr>
            <w:tcW w:w="636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 xml:space="preserve">10.4  </w:t>
            </w:r>
            <w:proofErr w:type="spellStart"/>
            <w:r>
              <w:rPr>
                <w:rFonts w:cs="Times New Roman"/>
                <w:szCs w:val="18"/>
              </w:rPr>
              <w:t>Modelling</w:t>
            </w:r>
            <w:proofErr w:type="spellEnd"/>
            <w:r>
              <w:rPr>
                <w:rFonts w:cs="Times New Roman"/>
                <w:szCs w:val="18"/>
              </w:rPr>
              <w:t xml:space="preserve"> and Solving Two-Step Equations</w:t>
            </w:r>
            <w:r w:rsidRPr="002069EE">
              <w:rPr>
                <w:rFonts w:cs="Times New Roman"/>
                <w:szCs w:val="18"/>
              </w:rPr>
              <w:t xml:space="preserve"> </w:t>
            </w: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Do pages 398 #6-12</w:t>
            </w:r>
          </w:p>
        </w:tc>
        <w:tc>
          <w:tcPr>
            <w:tcW w:w="285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tc>
      </w:tr>
      <w:tr w:rsidR="00DC3662" w:rsidTr="00052645">
        <w:tc>
          <w:tcPr>
            <w:tcW w:w="978" w:type="dxa"/>
          </w:tcPr>
          <w:p w:rsidR="00DC3662" w:rsidRPr="002069EE" w:rsidRDefault="00DC3662" w:rsidP="00DC3662">
            <w:r w:rsidRPr="002069EE">
              <w:t>5</w:t>
            </w:r>
          </w:p>
        </w:tc>
        <w:tc>
          <w:tcPr>
            <w:tcW w:w="636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r>
              <w:rPr>
                <w:rFonts w:cs="Times New Roman"/>
                <w:szCs w:val="18"/>
              </w:rPr>
              <w:t>Review and Quiz</w:t>
            </w:r>
          </w:p>
          <w:p w:rsidR="00DC3662" w:rsidRPr="001256BC"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tc>
        <w:tc>
          <w:tcPr>
            <w:tcW w:w="285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tc>
      </w:tr>
      <w:tr w:rsidR="00DC3662" w:rsidTr="00052645">
        <w:tc>
          <w:tcPr>
            <w:tcW w:w="978" w:type="dxa"/>
          </w:tcPr>
          <w:p w:rsidR="00DC3662" w:rsidRPr="002069EE" w:rsidRDefault="00DC3662" w:rsidP="00DC3662">
            <w:r w:rsidRPr="002069EE">
              <w:t>6</w:t>
            </w:r>
          </w:p>
        </w:tc>
        <w:tc>
          <w:tcPr>
            <w:tcW w:w="6360" w:type="dxa"/>
          </w:tcPr>
          <w:p w:rsidR="00DC3662"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New Roman"/>
                <w:szCs w:val="18"/>
              </w:rPr>
              <w:t xml:space="preserve">Chapter Test </w:t>
            </w:r>
          </w:p>
          <w:p w:rsidR="00DC3662" w:rsidRPr="002069EE" w:rsidRDefault="00DC3662" w:rsidP="00DC3662"/>
        </w:tc>
        <w:tc>
          <w:tcPr>
            <w:tcW w:w="2850" w:type="dxa"/>
          </w:tcPr>
          <w:p w:rsidR="00DC3662" w:rsidRPr="002069EE" w:rsidRDefault="00DC3662" w:rsidP="00D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18"/>
              </w:rPr>
            </w:pPr>
          </w:p>
        </w:tc>
      </w:tr>
    </w:tbl>
    <w:p w:rsidR="00DC3662" w:rsidRDefault="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Pr="00DC3662" w:rsidRDefault="00DC3662" w:rsidP="00DC3662"/>
    <w:p w:rsidR="00DC3662" w:rsidRDefault="00DC3662" w:rsidP="00DC3662"/>
    <w:p w:rsidR="002B698B" w:rsidRDefault="002B698B"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p w:rsidR="00DC3662" w:rsidRDefault="00DC3662" w:rsidP="00DC3662"/>
    <w:tbl>
      <w:tblPr>
        <w:tblStyle w:val="TableGrid"/>
        <w:tblpPr w:leftFromText="180" w:rightFromText="180" w:vertAnchor="text" w:horzAnchor="margin" w:tblpY="811"/>
        <w:tblW w:w="10774" w:type="dxa"/>
        <w:tblLook w:val="04A0" w:firstRow="1" w:lastRow="0" w:firstColumn="1" w:lastColumn="0" w:noHBand="0" w:noVBand="1"/>
      </w:tblPr>
      <w:tblGrid>
        <w:gridCol w:w="568"/>
        <w:gridCol w:w="3408"/>
        <w:gridCol w:w="3193"/>
        <w:gridCol w:w="3605"/>
      </w:tblGrid>
      <w:tr w:rsidR="00DC3662" w:rsidRPr="00E104FB" w:rsidTr="00052645">
        <w:trPr>
          <w:cantSplit/>
          <w:trHeight w:val="311"/>
        </w:trPr>
        <w:tc>
          <w:tcPr>
            <w:tcW w:w="568" w:type="dxa"/>
            <w:textDirection w:val="btLr"/>
            <w:vAlign w:val="center"/>
          </w:tcPr>
          <w:p w:rsidR="00DC3662" w:rsidRDefault="00DC3662" w:rsidP="00052645">
            <w:pPr>
              <w:ind w:left="113" w:right="113"/>
              <w:jc w:val="center"/>
            </w:pPr>
          </w:p>
        </w:tc>
        <w:tc>
          <w:tcPr>
            <w:tcW w:w="3408" w:type="dxa"/>
          </w:tcPr>
          <w:p w:rsidR="00DC3662" w:rsidRPr="00EB71DC" w:rsidRDefault="00DC3662" w:rsidP="00052645">
            <w:pPr>
              <w:pStyle w:val="NoSpacing"/>
              <w:rPr>
                <w:sz w:val="16"/>
                <w:szCs w:val="16"/>
              </w:rPr>
            </w:pPr>
            <w:r w:rsidRPr="00EB71DC">
              <w:rPr>
                <w:rFonts w:ascii="Arial" w:hAnsi="Arial" w:cs="Arial"/>
                <w:color w:val="000000"/>
                <w:sz w:val="16"/>
                <w:szCs w:val="16"/>
              </w:rPr>
              <w:t>1–2</w:t>
            </w:r>
          </w:p>
        </w:tc>
        <w:tc>
          <w:tcPr>
            <w:tcW w:w="3193" w:type="dxa"/>
          </w:tcPr>
          <w:p w:rsidR="00DC3662" w:rsidRPr="00EB71DC" w:rsidRDefault="00DC3662" w:rsidP="00052645">
            <w:pPr>
              <w:pStyle w:val="NoSpacing"/>
              <w:rPr>
                <w:sz w:val="16"/>
                <w:szCs w:val="16"/>
              </w:rPr>
            </w:pPr>
            <w:r w:rsidRPr="00EB71DC">
              <w:rPr>
                <w:rFonts w:ascii="Arial" w:hAnsi="Arial" w:cs="Arial"/>
                <w:color w:val="000000"/>
                <w:sz w:val="16"/>
                <w:szCs w:val="16"/>
              </w:rPr>
              <w:t>3–4</w:t>
            </w:r>
          </w:p>
        </w:tc>
        <w:tc>
          <w:tcPr>
            <w:tcW w:w="3605" w:type="dxa"/>
          </w:tcPr>
          <w:p w:rsidR="00DC3662" w:rsidRPr="00EB71DC" w:rsidRDefault="00DC3662" w:rsidP="00052645">
            <w:pPr>
              <w:pStyle w:val="NoSpacing"/>
              <w:rPr>
                <w:sz w:val="16"/>
                <w:szCs w:val="16"/>
              </w:rPr>
            </w:pPr>
            <w:r w:rsidRPr="00EB71DC">
              <w:rPr>
                <w:rFonts w:ascii="Arial" w:hAnsi="Arial" w:cs="Arial"/>
                <w:color w:val="000000"/>
                <w:sz w:val="16"/>
                <w:szCs w:val="16"/>
              </w:rPr>
              <w:t>5–6</w:t>
            </w:r>
          </w:p>
        </w:tc>
      </w:tr>
      <w:tr w:rsidR="00DC3662" w:rsidTr="00052645">
        <w:trPr>
          <w:cantSplit/>
          <w:trHeight w:val="1168"/>
        </w:trPr>
        <w:tc>
          <w:tcPr>
            <w:tcW w:w="568" w:type="dxa"/>
            <w:textDirection w:val="btLr"/>
            <w:vAlign w:val="center"/>
          </w:tcPr>
          <w:p w:rsidR="00DC3662" w:rsidRDefault="00DC3662" w:rsidP="00052645">
            <w:pPr>
              <w:ind w:left="113" w:right="113"/>
              <w:jc w:val="center"/>
            </w:pPr>
            <w:r>
              <w:t>Communication (C)</w:t>
            </w:r>
          </w:p>
          <w:p w:rsidR="00DC3662" w:rsidRPr="00E104FB" w:rsidRDefault="00DC3662" w:rsidP="00052645">
            <w:pPr>
              <w:ind w:left="113" w:right="113"/>
              <w:jc w:val="center"/>
            </w:pPr>
          </w:p>
        </w:tc>
        <w:tc>
          <w:tcPr>
            <w:tcW w:w="3408" w:type="dxa"/>
          </w:tcPr>
          <w:p w:rsidR="00DC3662" w:rsidRPr="00EB71DC" w:rsidRDefault="00DC3662" w:rsidP="00052645">
            <w:pPr>
              <w:pStyle w:val="tablebody1"/>
              <w:rPr>
                <w:rFonts w:ascii="Arial" w:hAnsi="Arial" w:cs="Arial"/>
                <w:color w:val="000000"/>
                <w:sz w:val="16"/>
                <w:szCs w:val="16"/>
              </w:rPr>
            </w:pPr>
            <w:r w:rsidRPr="00EB71DC">
              <w:rPr>
                <w:rFonts w:ascii="Arial" w:hAnsi="Arial" w:cs="Arial"/>
                <w:color w:val="000000"/>
                <w:sz w:val="16"/>
                <w:szCs w:val="16"/>
              </w:rPr>
              <w:t xml:space="preserve">The lines of reasoning are </w:t>
            </w:r>
            <w:r w:rsidRPr="00EB71DC">
              <w:rPr>
                <w:rStyle w:val="bold"/>
                <w:rFonts w:ascii="Arial" w:hAnsi="Arial" w:cs="Arial"/>
                <w:color w:val="000000"/>
                <w:sz w:val="16"/>
                <w:szCs w:val="16"/>
              </w:rPr>
              <w:t>difficult to follow</w:t>
            </w:r>
            <w:r w:rsidRPr="00EB71DC">
              <w:rPr>
                <w:rFonts w:ascii="Arial" w:hAnsi="Arial" w:cs="Arial"/>
                <w:color w:val="000000"/>
                <w:sz w:val="16"/>
                <w:szCs w:val="16"/>
              </w:rPr>
              <w:t>.</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Boxed final answer in simplest form</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Correct units</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 xml:space="preserve">Concluding statement </w:t>
            </w:r>
          </w:p>
          <w:p w:rsidR="00DC3662"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Ve</w:t>
            </w:r>
            <w:r>
              <w:rPr>
                <w:rFonts w:ascii="Arial" w:hAnsi="Arial" w:cs="Arial"/>
                <w:color w:val="000000"/>
                <w:sz w:val="16"/>
                <w:szCs w:val="16"/>
              </w:rPr>
              <w:t>rtical format</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Line up equal signs</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Writes formula</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Uses “let” statement</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Rough calculations separate from solution</w:t>
            </w:r>
          </w:p>
        </w:tc>
        <w:tc>
          <w:tcPr>
            <w:tcW w:w="3193" w:type="dxa"/>
          </w:tcPr>
          <w:p w:rsidR="00DC3662" w:rsidRPr="00EB71DC" w:rsidRDefault="00DC3662" w:rsidP="00052645">
            <w:pPr>
              <w:pStyle w:val="tablebody1"/>
              <w:rPr>
                <w:rFonts w:ascii="Arial" w:hAnsi="Arial" w:cs="Arial"/>
                <w:color w:val="000000"/>
                <w:sz w:val="16"/>
                <w:szCs w:val="16"/>
              </w:rPr>
            </w:pPr>
            <w:r w:rsidRPr="00EB71DC">
              <w:rPr>
                <w:rFonts w:ascii="Arial" w:hAnsi="Arial" w:cs="Arial"/>
                <w:color w:val="000000"/>
                <w:sz w:val="16"/>
                <w:szCs w:val="16"/>
              </w:rPr>
              <w:t xml:space="preserve">The lines of reasoning are </w:t>
            </w:r>
            <w:r w:rsidRPr="00EB71DC">
              <w:rPr>
                <w:rStyle w:val="bold"/>
                <w:rFonts w:ascii="Arial" w:hAnsi="Arial" w:cs="Arial"/>
                <w:color w:val="000000"/>
                <w:sz w:val="16"/>
                <w:szCs w:val="16"/>
              </w:rPr>
              <w:t>clear</w:t>
            </w:r>
            <w:r w:rsidRPr="00EB71DC">
              <w:rPr>
                <w:rFonts w:ascii="Arial" w:hAnsi="Arial" w:cs="Arial"/>
                <w:color w:val="000000"/>
                <w:sz w:val="16"/>
                <w:szCs w:val="16"/>
              </w:rPr>
              <w:t xml:space="preserve"> though not always </w:t>
            </w:r>
            <w:r w:rsidRPr="00EB71DC">
              <w:rPr>
                <w:rStyle w:val="bold"/>
                <w:rFonts w:ascii="Arial" w:hAnsi="Arial" w:cs="Arial"/>
                <w:color w:val="000000"/>
                <w:sz w:val="16"/>
                <w:szCs w:val="16"/>
              </w:rPr>
              <w:t xml:space="preserve">sequential </w:t>
            </w:r>
            <w:r w:rsidRPr="00EB71DC">
              <w:rPr>
                <w:rFonts w:ascii="Arial" w:hAnsi="Arial" w:cs="Arial"/>
                <w:color w:val="000000"/>
                <w:sz w:val="16"/>
                <w:szCs w:val="16"/>
              </w:rPr>
              <w:t xml:space="preserve">or </w:t>
            </w:r>
            <w:r w:rsidRPr="00EB71DC">
              <w:rPr>
                <w:rStyle w:val="bold"/>
                <w:rFonts w:ascii="Arial" w:hAnsi="Arial" w:cs="Arial"/>
                <w:color w:val="000000"/>
                <w:sz w:val="16"/>
                <w:szCs w:val="16"/>
              </w:rPr>
              <w:t>complete</w:t>
            </w:r>
            <w:r w:rsidRPr="00EB71DC">
              <w:rPr>
                <w:rFonts w:ascii="Arial" w:hAnsi="Arial" w:cs="Arial"/>
                <w:color w:val="000000"/>
                <w:sz w:val="16"/>
                <w:szCs w:val="16"/>
              </w:rPr>
              <w:t xml:space="preserve">. </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Boxed final answer in simplest form</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Correct units</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 xml:space="preserve">Concluding statement </w:t>
            </w:r>
          </w:p>
          <w:p w:rsidR="00DC3662"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Ve</w:t>
            </w:r>
            <w:r>
              <w:rPr>
                <w:rFonts w:ascii="Arial" w:hAnsi="Arial" w:cs="Arial"/>
                <w:color w:val="000000"/>
                <w:sz w:val="16"/>
                <w:szCs w:val="16"/>
              </w:rPr>
              <w:t>rtical format</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Line up equal signs</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Writes formula</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Uses “let” statement</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Rough calculations separate from solution</w:t>
            </w:r>
          </w:p>
        </w:tc>
        <w:tc>
          <w:tcPr>
            <w:tcW w:w="3605" w:type="dxa"/>
          </w:tcPr>
          <w:p w:rsidR="00DC3662" w:rsidRPr="00EB71DC" w:rsidRDefault="00DC3662" w:rsidP="00052645">
            <w:pPr>
              <w:widowControl w:val="0"/>
              <w:autoSpaceDE w:val="0"/>
              <w:autoSpaceDN w:val="0"/>
              <w:adjustRightInd w:val="0"/>
              <w:spacing w:after="240"/>
              <w:rPr>
                <w:rFonts w:ascii="Arial" w:hAnsi="Arial" w:cs="Arial"/>
                <w:color w:val="000000"/>
                <w:sz w:val="16"/>
                <w:szCs w:val="16"/>
              </w:rPr>
            </w:pPr>
            <w:r w:rsidRPr="00EB71DC">
              <w:rPr>
                <w:rFonts w:ascii="Arial" w:hAnsi="Arial" w:cs="Arial"/>
                <w:color w:val="000000"/>
                <w:sz w:val="16"/>
                <w:szCs w:val="16"/>
              </w:rPr>
              <w:t xml:space="preserve">The lines of reasoning are </w:t>
            </w:r>
            <w:r w:rsidRPr="00EB71DC">
              <w:rPr>
                <w:rStyle w:val="bold"/>
                <w:rFonts w:ascii="Arial" w:hAnsi="Arial" w:cs="Arial"/>
                <w:color w:val="000000"/>
                <w:sz w:val="16"/>
                <w:szCs w:val="16"/>
              </w:rPr>
              <w:t>concise</w:t>
            </w:r>
            <w:r w:rsidRPr="00EB71DC">
              <w:rPr>
                <w:rFonts w:ascii="Arial" w:hAnsi="Arial" w:cs="Arial"/>
                <w:color w:val="000000"/>
                <w:sz w:val="16"/>
                <w:szCs w:val="16"/>
              </w:rPr>
              <w:t xml:space="preserve">, </w:t>
            </w:r>
            <w:r w:rsidRPr="00EB71DC">
              <w:rPr>
                <w:rStyle w:val="bold"/>
                <w:rFonts w:ascii="Arial" w:hAnsi="Arial" w:cs="Arial"/>
                <w:color w:val="000000"/>
                <w:sz w:val="16"/>
                <w:szCs w:val="16"/>
              </w:rPr>
              <w:t>sequential</w:t>
            </w:r>
            <w:r w:rsidRPr="00EB71DC">
              <w:rPr>
                <w:rFonts w:ascii="Arial" w:hAnsi="Arial" w:cs="Arial"/>
                <w:color w:val="000000"/>
                <w:sz w:val="16"/>
                <w:szCs w:val="16"/>
              </w:rPr>
              <w:t xml:space="preserve"> and </w:t>
            </w:r>
            <w:r w:rsidRPr="00EB71DC">
              <w:rPr>
                <w:rStyle w:val="bold"/>
                <w:rFonts w:ascii="Arial" w:hAnsi="Arial" w:cs="Arial"/>
                <w:color w:val="000000"/>
                <w:sz w:val="16"/>
                <w:szCs w:val="16"/>
              </w:rPr>
              <w:t>complete</w:t>
            </w:r>
            <w:r w:rsidRPr="00EB71DC">
              <w:rPr>
                <w:rFonts w:ascii="Arial" w:hAnsi="Arial" w:cs="Arial"/>
                <w:color w:val="000000"/>
                <w:sz w:val="16"/>
                <w:szCs w:val="16"/>
              </w:rPr>
              <w:t xml:space="preserve">. </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Boxed final answer in simplest form</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Correct units</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 xml:space="preserve">Concluding statement </w:t>
            </w:r>
          </w:p>
          <w:p w:rsidR="00DC3662"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V</w:t>
            </w:r>
            <w:r>
              <w:rPr>
                <w:rFonts w:ascii="Arial" w:hAnsi="Arial" w:cs="Arial"/>
                <w:color w:val="000000"/>
                <w:sz w:val="16"/>
                <w:szCs w:val="16"/>
              </w:rPr>
              <w:t xml:space="preserve">ertical format </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 xml:space="preserve"> Line up equal signs</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Writes formula</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Uses “let” statement</w:t>
            </w:r>
          </w:p>
          <w:p w:rsidR="00DC3662" w:rsidRPr="00EB71DC" w:rsidRDefault="00DC3662" w:rsidP="00052645">
            <w:pPr>
              <w:pStyle w:val="tablebody1"/>
              <w:numPr>
                <w:ilvl w:val="0"/>
                <w:numId w:val="1"/>
              </w:numPr>
              <w:ind w:left="357" w:hanging="357"/>
              <w:rPr>
                <w:rFonts w:ascii="Arial" w:hAnsi="Arial" w:cs="Arial"/>
                <w:color w:val="000000"/>
                <w:sz w:val="16"/>
                <w:szCs w:val="16"/>
              </w:rPr>
            </w:pPr>
            <w:r w:rsidRPr="00EB71DC">
              <w:rPr>
                <w:rFonts w:ascii="Arial" w:hAnsi="Arial" w:cs="Arial"/>
                <w:color w:val="000000"/>
                <w:sz w:val="16"/>
                <w:szCs w:val="16"/>
              </w:rPr>
              <w:t>Rough calculations separate from solution</w:t>
            </w:r>
          </w:p>
          <w:p w:rsidR="00DC3662" w:rsidRPr="00EB71DC" w:rsidRDefault="00DC3662" w:rsidP="00052645">
            <w:pPr>
              <w:pStyle w:val="NoSpacing"/>
              <w:rPr>
                <w:sz w:val="16"/>
                <w:szCs w:val="16"/>
              </w:rPr>
            </w:pPr>
          </w:p>
        </w:tc>
      </w:tr>
    </w:tbl>
    <w:p w:rsidR="00DC3662" w:rsidRDefault="00DC3662" w:rsidP="00DC3662"/>
    <w:p w:rsidR="00DC3662" w:rsidRDefault="00DC3662" w:rsidP="00DC3662"/>
    <w:p w:rsidR="00DC3662" w:rsidRDefault="00DC3662" w:rsidP="00DC3662"/>
    <w:p w:rsidR="00DC3662" w:rsidRPr="00DC3662" w:rsidRDefault="00DC3662" w:rsidP="00DC3662"/>
    <w:p w:rsidR="00DC3662" w:rsidRDefault="00DC3662"/>
    <w:sectPr w:rsidR="00DC3662" w:rsidSect="00DC3662">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658F3"/>
    <w:multiLevelType w:val="hybridMultilevel"/>
    <w:tmpl w:val="CF14DC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B"/>
    <w:rsid w:val="000004F3"/>
    <w:rsid w:val="00052645"/>
    <w:rsid w:val="001256BC"/>
    <w:rsid w:val="002069EE"/>
    <w:rsid w:val="002B1C9A"/>
    <w:rsid w:val="002B698B"/>
    <w:rsid w:val="0061505E"/>
    <w:rsid w:val="006B074B"/>
    <w:rsid w:val="009D4892"/>
    <w:rsid w:val="00A83A6B"/>
    <w:rsid w:val="00BF1A8A"/>
    <w:rsid w:val="00DC366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No Spacing" w:uiPriority="1" w:qFormat="1"/>
  </w:latentStyles>
  <w:style w:type="paragraph" w:default="1" w:styleId="Normal">
    <w:name w:val="Normal"/>
    <w:qFormat/>
    <w:rsid w:val="00A86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C3662"/>
    <w:rPr>
      <w:sz w:val="22"/>
      <w:szCs w:val="22"/>
      <w:lang w:val="en-CA"/>
    </w:rPr>
  </w:style>
  <w:style w:type="character" w:customStyle="1" w:styleId="bold">
    <w:name w:val="bold"/>
    <w:basedOn w:val="DefaultParagraphFont"/>
    <w:rsid w:val="00DC3662"/>
    <w:rPr>
      <w:b/>
      <w:bCs/>
    </w:rPr>
  </w:style>
  <w:style w:type="paragraph" w:customStyle="1" w:styleId="tablebody1">
    <w:name w:val="tablebody1"/>
    <w:basedOn w:val="Normal"/>
    <w:rsid w:val="00DC3662"/>
    <w:pPr>
      <w:spacing w:before="100" w:beforeAutospacing="1" w:after="120"/>
    </w:pPr>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No Spacing" w:uiPriority="1" w:qFormat="1"/>
  </w:latentStyles>
  <w:style w:type="paragraph" w:default="1" w:styleId="Normal">
    <w:name w:val="Normal"/>
    <w:qFormat/>
    <w:rsid w:val="00A86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9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C3662"/>
    <w:rPr>
      <w:sz w:val="22"/>
      <w:szCs w:val="22"/>
      <w:lang w:val="en-CA"/>
    </w:rPr>
  </w:style>
  <w:style w:type="character" w:customStyle="1" w:styleId="bold">
    <w:name w:val="bold"/>
    <w:basedOn w:val="DefaultParagraphFont"/>
    <w:rsid w:val="00DC3662"/>
    <w:rPr>
      <w:b/>
      <w:bCs/>
    </w:rPr>
  </w:style>
  <w:style w:type="paragraph" w:customStyle="1" w:styleId="tablebody1">
    <w:name w:val="tablebody1"/>
    <w:basedOn w:val="Normal"/>
    <w:rsid w:val="00DC3662"/>
    <w:pPr>
      <w:spacing w:before="100" w:beforeAutospacing="1" w:after="120"/>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Rockridge Secondary School</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Kelly Spearman</cp:lastModifiedBy>
  <cp:revision>6</cp:revision>
  <cp:lastPrinted>2012-10-11T00:15:00Z</cp:lastPrinted>
  <dcterms:created xsi:type="dcterms:W3CDTF">2013-05-21T04:35:00Z</dcterms:created>
  <dcterms:modified xsi:type="dcterms:W3CDTF">2013-05-23T19:21:00Z</dcterms:modified>
</cp:coreProperties>
</file>